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21"/>
        <w:pBdr/>
        <w:spacing/>
        <w:ind/>
        <w:rPr/>
      </w:pPr>
      <w:r>
        <w:rPr>
          <w:rFonts w:ascii="Arial" w:hAnsi="Arial" w:eastAsia="Arial" w:cs="Arial"/>
          <w:b/>
          <w:bCs/>
          <w:sz w:val="28"/>
          <w:szCs w:val="28"/>
        </w:rPr>
        <w:t xml:space="preserve">currentTradeReport — payment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&lt;?xml version="1.0" encoding="UTF-8"?&gt;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&lt;Document xmlns="urn:iso:std:iso:20022:tech:xsd:auth.016.001.01"&gt;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&lt;FinInstrmRptgTxRpt&gt;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&lt;Tx&gt;</w:t>
      </w:r>
      <w:r/>
      <w:r>
        <w:rPr>
          <w:rFonts w:ascii="Courier New" w:hAnsi="Courier New" w:eastAsia="Courier New" w:cs="Courier New"/>
          <w:sz w:val="20"/>
          <w:szCs w:val="20"/>
        </w:rPr>
      </w: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&lt;New&gt;</w:t>
      </w:r>
      <w:r/>
      <w:r/>
      <w:r/>
      <w:r/>
      <w:r>
        <w:rPr>
          <w:rFonts w:ascii="Courier New" w:hAnsi="Courier New" w:eastAsia="Courier New" w:cs="Courier New"/>
          <w:sz w:val="20"/>
          <w:szCs w:val="20"/>
        </w:rPr>
      </w: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&lt;TxId&gt;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Transaction Reference Number (transaction_reference)</w:t>
      </w:r>
      <w:r>
        <w:rPr>
          <w:rFonts w:ascii="Courier New" w:hAnsi="Courier New" w:eastAsia="Courier New" w:cs="Courier New"/>
          <w:sz w:val="20"/>
          <w:szCs w:val="20"/>
        </w:rPr>
        <w:t xml:space="preserve">&lt;/TxId&gt;</w:t>
      </w:r>
      <w:r/>
      <w:r/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&lt;ExctgPty&gt;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Executing entity identification code (DEUSS LEI)</w:t>
      </w:r>
      <w:r>
        <w:rPr>
          <w:rFonts w:ascii="Courier New" w:hAnsi="Courier New" w:eastAsia="Courier New" w:cs="Courier New"/>
          <w:sz w:val="20"/>
          <w:szCs w:val="20"/>
        </w:rPr>
        <w:t xml:space="preserve">&lt;/ExctgPty&gt;</w:t>
      </w:r>
      <w:r/>
      <w:r>
        <w:rPr>
          <w:rFonts w:ascii="Courier New" w:hAnsi="Courier New" w:eastAsia="Courier New" w:cs="Courier New"/>
          <w:sz w:val="20"/>
          <w:szCs w:val="20"/>
        </w:rPr>
      </w: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&lt;InvstmtPtyInd&gt;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Investment Firm covered by Directive 2014/65/EU (Boolean true)</w:t>
      </w:r>
      <w:r>
        <w:rPr>
          <w:rFonts w:ascii="Courier New" w:hAnsi="Courier New" w:eastAsia="Courier New" w:cs="Courier New"/>
          <w:sz w:val="20"/>
          <w:szCs w:val="20"/>
        </w:rPr>
        <w:t xml:space="preserve">&lt;/InvstmtPtyInd&gt;</w:t>
      </w:r>
      <w:r/>
      <w:r>
        <w:rPr>
          <w:rFonts w:ascii="Courier New" w:hAnsi="Courier New" w:eastAsia="Courier New" w:cs="Courier New"/>
          <w:sz w:val="20"/>
          <w:szCs w:val="20"/>
        </w:rPr>
      </w: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&lt;SubmitgPty&gt;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Submitting entity identification code (LEI of Deuss)</w:t>
      </w:r>
      <w:r>
        <w:rPr>
          <w:rFonts w:ascii="Courier New" w:hAnsi="Courier New" w:eastAsia="Courier New" w:cs="Courier New"/>
          <w:sz w:val="20"/>
          <w:szCs w:val="20"/>
        </w:rPr>
        <w:t xml:space="preserve">&lt;/SubmitgPty&gt;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&lt;Buyr&gt;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&lt;AcctOwnr&gt;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&lt;LEI&gt;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Buyer identification code (LEI of the buyer)</w:t>
      </w:r>
      <w:r>
        <w:rPr>
          <w:rFonts w:ascii="Courier New" w:hAnsi="Courier New" w:eastAsia="Courier New" w:cs="Courier New"/>
          <w:sz w:val="20"/>
          <w:szCs w:val="20"/>
        </w:rPr>
        <w:t xml:space="preserve">&lt;/LEI&gt;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&lt;/Id&gt;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&lt;CtryOfBrnch&gt;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Country of the branch for the buyer (country_code of the buyer's Broker)</w:t>
      </w:r>
      <w:r>
        <w:rPr>
          <w:rFonts w:ascii="Courier New" w:hAnsi="Courier New" w:eastAsia="Courier New" w:cs="Courier New"/>
          <w:sz w:val="20"/>
          <w:szCs w:val="20"/>
        </w:rPr>
        <w:t xml:space="preserve">&lt;/CtryOfBrnch&gt;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&lt;/AcctOwnr&gt;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&lt;/Buyr&gt;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&lt;Sellr&gt;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&lt;AcctOwnr&gt;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&lt;LEI&gt;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Seller identification code (LEI of the seller)</w:t>
      </w:r>
      <w:r>
        <w:rPr>
          <w:rFonts w:ascii="Courier New" w:hAnsi="Courier New" w:eastAsia="Courier New" w:cs="Courier New"/>
          <w:sz w:val="20"/>
          <w:szCs w:val="20"/>
        </w:rPr>
        <w:t xml:space="preserve">&lt;/LEI&gt;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&lt;/Id&gt;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&lt;/AcctOwnr&gt;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&lt;/Sellr&gt;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&lt;OrdrTrnsmssn&gt;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&lt;TrnsmssnInd&gt;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Transmission of order indicator (the word false)</w:t>
      </w:r>
      <w:r>
        <w:rPr>
          <w:rFonts w:ascii="Courier New" w:hAnsi="Courier New" w:eastAsia="Courier New" w:cs="Courier New"/>
          <w:sz w:val="20"/>
          <w:szCs w:val="20"/>
        </w:rPr>
        <w:t xml:space="preserve">&lt;/TrnsmssnInd&gt;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&lt;/OrdrTrnsmssn&gt;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&lt;Tx&gt;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&lt;TradDt&gt;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Trading date time (created_at)</w:t>
      </w:r>
      <w:r>
        <w:rPr>
          <w:rFonts w:ascii="Courier New" w:hAnsi="Courier New" w:eastAsia="Courier New" w:cs="Courier New"/>
          <w:sz w:val="20"/>
          <w:szCs w:val="20"/>
        </w:rPr>
        <w:t xml:space="preserve">&lt;/TradDt&gt;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&lt;TradgCpcty&gt;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Trading capacity (String AOTC)</w:t>
      </w:r>
      <w:r>
        <w:rPr>
          <w:rFonts w:ascii="Courier New" w:hAnsi="Courier New" w:eastAsia="Courier New" w:cs="Courier New"/>
          <w:sz w:val="20"/>
          <w:szCs w:val="20"/>
        </w:rPr>
        <w:t xml:space="preserve">&lt;/TradgCpcty&gt;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&lt;Qty&gt;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&lt;NmnlVal Ccy="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Quantity currency</w:t>
      </w:r>
      <w:r>
        <w:rPr>
          <w:rFonts w:ascii="Courier New" w:hAnsi="Courier New" w:eastAsia="Courier New" w:cs="Courier New"/>
          <w:sz w:val="20"/>
          <w:szCs w:val="20"/>
        </w:rPr>
        <w:t xml:space="preserve">"&gt;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&lt;/Qty&gt;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&lt;Pric&gt;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&lt;Pric&gt;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&lt;MntryVal&gt;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  &lt;Amt Ccy="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Price Currency (currency of the bond)</w:t>
      </w:r>
      <w:r>
        <w:rPr>
          <w:rFonts w:ascii="Courier New" w:hAnsi="Courier New" w:eastAsia="Courier New" w:cs="Courier New"/>
          <w:sz w:val="20"/>
          <w:szCs w:val="20"/>
        </w:rPr>
        <w:t xml:space="preserve">"&gt;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&lt;/MntryVal&gt;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&lt;/Pric&gt;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&lt;/Pric&gt;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&lt;NetAmt&gt;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Net amount</w:t>
      </w:r>
      <w:r>
        <w:rPr>
          <w:rFonts w:ascii="Courier New" w:hAnsi="Courier New" w:eastAsia="Courier New" w:cs="Courier New"/>
          <w:sz w:val="20"/>
          <w:szCs w:val="20"/>
        </w:rPr>
        <w:t xml:space="preserve">&lt;/NetAmt&gt;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&lt;TradVn&gt;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Venue (MIC of Deuss)</w:t>
      </w:r>
      <w:r>
        <w:rPr>
          <w:rFonts w:ascii="Courier New" w:hAnsi="Courier New" w:eastAsia="Courier New" w:cs="Courier New"/>
          <w:sz w:val="20"/>
          <w:szCs w:val="20"/>
        </w:rPr>
        <w:t xml:space="preserve">&lt;/TradVn&gt;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&lt;CtryOfBrnch&gt;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Country of the branch membership (Deuss country_code)</w:t>
      </w:r>
      <w:r>
        <w:rPr>
          <w:rFonts w:ascii="Courier New" w:hAnsi="Courier New" w:eastAsia="Courier New" w:cs="Courier New"/>
          <w:sz w:val="20"/>
          <w:szCs w:val="20"/>
        </w:rPr>
        <w:t xml:space="preserve">&lt;/CtryOfBrnch&gt;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&lt;/Tx&gt;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&lt;FinInstrm&gt;</w:t>
      </w:r>
      <w:r/>
    </w:p>
    <w:p>
      <w:pPr>
        <w:pBdr/>
        <w:spacing/>
        <w:ind/>
        <w:rPr>
          <w:rFonts w:ascii="Courier New" w:hAnsi="Courier New" w:eastAsia="Courier New" w:cs="Courier New"/>
          <w:sz w:val="20"/>
          <w:szCs w:val="20"/>
          <w:highlight w:val="none"/>
        </w:rPr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&lt;Id&gt;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Instrument identification code</w:t>
      </w:r>
      <w:r>
        <w:rPr>
          <w:rFonts w:ascii="Courier New" w:hAnsi="Courier New" w:eastAsia="Courier New" w:cs="Courier New"/>
          <w:sz w:val="20"/>
          <w:szCs w:val="20"/>
        </w:rPr>
        <w:t xml:space="preserve">&lt;/Id&gt;</w:t>
      </w:r>
      <w:r/>
    </w:p>
    <w:p w14:paraId="7F416281"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  <w:highlight w:val="none"/>
        </w:rPr>
      </w:r>
      <w:r>
        <w:rPr>
          <w:rFonts w:ascii="Courier New" w:hAnsi="Courier New" w:eastAsia="Courier New" w:cs="Courier New"/>
          <w:sz w:val="20"/>
          <w:szCs w:val="20"/>
          <w:highlight w:val="none"/>
        </w:rPr>
      </w:r>
      <w:r>
        <w:rPr>
          <w:rFonts w:ascii="Courier New" w:hAnsi="Courier New" w:eastAsia="Courier New" w:cs="Courier New"/>
          <w:sz w:val="20"/>
          <w:szCs w:val="20"/>
          <w:highlight w:val="none"/>
        </w:rPr>
      </w:r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&lt;/FinInstrm&gt;</w:t>
      </w:r>
      <w:r/>
      <w:r>
        <w:rPr>
          <w:rFonts w:ascii="Courier New" w:hAnsi="Courier New" w:eastAsia="Courier New" w:cs="Courier New"/>
          <w:sz w:val="20"/>
          <w:szCs w:val="20"/>
        </w:rPr>
      </w: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&lt;ExctgPrsn&gt;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&lt;Algo&gt;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Execution within firm (the string DEUSS_AUTO_EXEC_001)</w:t>
      </w:r>
      <w:r>
        <w:rPr>
          <w:rFonts w:ascii="Courier New" w:hAnsi="Courier New" w:eastAsia="Courier New" w:cs="Courier New"/>
          <w:sz w:val="20"/>
          <w:szCs w:val="20"/>
        </w:rPr>
        <w:t xml:space="preserve">&lt;/Algo&gt;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&lt;/ExctgPrsn&gt;</w:t>
      </w:r>
      <w:r/>
      <w:r/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&lt;AddtlAttrbts&gt;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&lt;ShrtSellgInd&gt;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Short selling indicator (the string SELL)</w:t>
      </w:r>
      <w:r>
        <w:rPr>
          <w:rFonts w:ascii="Courier New" w:hAnsi="Courier New" w:eastAsia="Courier New" w:cs="Courier New"/>
          <w:sz w:val="20"/>
          <w:szCs w:val="20"/>
        </w:rPr>
        <w:t xml:space="preserve">&lt;/ShrtSellgInd&gt;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&lt;SctiesFincgTxInd&gt;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Securities financing transaction indicator (Boolean false)</w:t>
      </w:r>
      <w:r>
        <w:rPr>
          <w:rFonts w:ascii="Courier New" w:hAnsi="Courier New" w:eastAsia="Courier New" w:cs="Courier New"/>
          <w:sz w:val="20"/>
          <w:szCs w:val="20"/>
        </w:rPr>
        <w:t xml:space="preserve">&lt;/SctiesFincgTxInd&gt;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&lt;/AddtlAttrbts&gt;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&lt;/New&gt;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&lt;/Tx&gt;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&lt;/FinInstrmRptgTxRpt&gt;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&lt;/Document&gt;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Style w:val="721"/>
        <w:pBdr/>
        <w:spacing/>
        <w:ind/>
        <w:rPr/>
      </w:pPr>
      <w:r>
        <w:rPr>
          <w:rFonts w:ascii="Arial" w:hAnsi="Arial" w:eastAsia="Arial" w:cs="Arial"/>
          <w:b/>
          <w:bCs/>
          <w:sz w:val="28"/>
          <w:szCs w:val="28"/>
        </w:rPr>
        <w:t xml:space="preserve">currentTradeReport — OTC (Transfer event)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&lt;?xml version="1.0" encoding="UTF-8"?&gt;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&lt;Document xmlns="urn:iso:std:iso:20022:tech:xsd:auth.016.001.01"&gt;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&lt;FinInstrmRptgTxRpt&gt;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&lt;Tx&gt;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&lt;New&gt;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&lt;TxId&gt;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Transaction Reference Number (transaction_reference)</w:t>
      </w:r>
      <w:r>
        <w:rPr>
          <w:rFonts w:ascii="Courier New" w:hAnsi="Courier New" w:eastAsia="Courier New" w:cs="Courier New"/>
          <w:sz w:val="20"/>
          <w:szCs w:val="20"/>
        </w:rPr>
        <w:t xml:space="preserve">&lt;/TxId&gt;</w:t>
      </w:r>
      <w:r/>
      <w:r>
        <w:rPr>
          <w:rFonts w:ascii="Courier New" w:hAnsi="Courier New" w:eastAsia="Courier New" w:cs="Courier New"/>
          <w:sz w:val="20"/>
          <w:szCs w:val="20"/>
        </w:rPr>
      </w: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&lt;ExctgPty&gt;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Executing entity identification code (DEUSS LEI)</w:t>
      </w:r>
      <w:r>
        <w:rPr>
          <w:rFonts w:ascii="Courier New" w:hAnsi="Courier New" w:eastAsia="Courier New" w:cs="Courier New"/>
          <w:sz w:val="20"/>
          <w:szCs w:val="20"/>
        </w:rPr>
        <w:t xml:space="preserve">&lt;/ExctgPty&gt;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&lt;InvstmtPtyInd&gt;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Investment Firm covered by Directive 2014/65/EU (Boolean true)</w:t>
      </w:r>
      <w:r>
        <w:rPr>
          <w:rFonts w:ascii="Courier New" w:hAnsi="Courier New" w:eastAsia="Courier New" w:cs="Courier New"/>
          <w:sz w:val="20"/>
          <w:szCs w:val="20"/>
        </w:rPr>
        <w:t xml:space="preserve">&lt;/InvstmtPtyInd&gt;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&lt;SubmitgPty&gt;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Submitting entity identification code (LEI of Deuss)</w:t>
      </w:r>
      <w:r>
        <w:rPr>
          <w:rFonts w:ascii="Courier New" w:hAnsi="Courier New" w:eastAsia="Courier New" w:cs="Courier New"/>
          <w:sz w:val="20"/>
          <w:szCs w:val="20"/>
        </w:rPr>
        <w:t xml:space="preserve">&lt;/SubmitgPty&gt;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&lt;Buyr&gt;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&lt;AcctOwnr&gt;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&lt;LEI&gt;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Buyer identification code (LEI of the buyer)</w:t>
      </w:r>
      <w:r>
        <w:rPr>
          <w:rFonts w:ascii="Courier New" w:hAnsi="Courier New" w:eastAsia="Courier New" w:cs="Courier New"/>
          <w:sz w:val="20"/>
          <w:szCs w:val="20"/>
        </w:rPr>
        <w:t xml:space="preserve">&lt;/LEI&gt;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&lt;/Id&gt;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&lt;CtryOfBrnch&gt;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Country of the branch for the buyer (country_code of the buyer's Broker)</w:t>
      </w:r>
      <w:r>
        <w:rPr>
          <w:rFonts w:ascii="Courier New" w:hAnsi="Courier New" w:eastAsia="Courier New" w:cs="Courier New"/>
          <w:sz w:val="20"/>
          <w:szCs w:val="20"/>
        </w:rPr>
        <w:t xml:space="preserve">&lt;/CtryOfBrnch&gt;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&lt;/AcctOwnr&gt;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&lt;/Buyr&gt;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&lt;Sellr&gt;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&lt;AcctOwnr&gt;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&lt;LEI&gt;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Seller identification code (LEI of the seller)</w:t>
      </w:r>
      <w:r>
        <w:rPr>
          <w:rFonts w:ascii="Courier New" w:hAnsi="Courier New" w:eastAsia="Courier New" w:cs="Courier New"/>
          <w:sz w:val="20"/>
          <w:szCs w:val="20"/>
        </w:rPr>
        <w:t xml:space="preserve">&lt;/LEI&gt;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&lt;/Id&gt;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&lt;/AcctOwnr&gt;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&lt;/Sellr&gt;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&lt;OrdrTrnsmssn&gt;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&lt;TrnsmssnInd&gt;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Transmission of order indicator (the word false)</w:t>
      </w:r>
      <w:r>
        <w:rPr>
          <w:rFonts w:ascii="Courier New" w:hAnsi="Courier New" w:eastAsia="Courier New" w:cs="Courier New"/>
          <w:sz w:val="20"/>
          <w:szCs w:val="20"/>
        </w:rPr>
        <w:t xml:space="preserve">&lt;/TrnsmssnInd&gt;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&lt;/OrdrTrnsmssn&gt;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&lt;Tx&gt;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&lt;TradDt&gt;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Trading date time (created_at)</w:t>
      </w:r>
      <w:r>
        <w:rPr>
          <w:rFonts w:ascii="Courier New" w:hAnsi="Courier New" w:eastAsia="Courier New" w:cs="Courier New"/>
          <w:sz w:val="20"/>
          <w:szCs w:val="20"/>
        </w:rPr>
        <w:t xml:space="preserve">&lt;/TradDt&gt;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&lt;TradgCpcty&gt;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Trading capacity (String AOTC)</w:t>
      </w:r>
      <w:r>
        <w:rPr>
          <w:rFonts w:ascii="Courier New" w:hAnsi="Courier New" w:eastAsia="Courier New" w:cs="Courier New"/>
          <w:sz w:val="20"/>
          <w:szCs w:val="20"/>
        </w:rPr>
        <w:t xml:space="preserve">&lt;/TradgCpcty&gt;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&lt;Qty&gt;</w:t>
      </w:r>
      <w:r/>
      <w:r>
        <w:rPr>
          <w:rFonts w:ascii="Courier New" w:hAnsi="Courier New" w:eastAsia="Courier New" w:cs="Courier New"/>
          <w:sz w:val="20"/>
          <w:szCs w:val="20"/>
        </w:rPr>
      </w: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&lt;Unit&gt;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Quantity</w:t>
      </w:r>
      <w:r>
        <w:rPr>
          <w:rFonts w:ascii="Courier New" w:hAnsi="Courier New" w:eastAsia="Courier New" w:cs="Courier New"/>
          <w:sz w:val="20"/>
          <w:szCs w:val="20"/>
        </w:rPr>
        <w:t xml:space="preserve">&lt;/Unit&gt;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&lt;/Qty&gt;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&lt;Pric&gt;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&lt;Pric&gt;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&lt;MntryVal&gt;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  &lt;Amt&gt;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Price</w:t>
      </w:r>
      <w:r>
        <w:rPr>
          <w:rFonts w:ascii="Courier New" w:hAnsi="Courier New" w:eastAsia="Courier New" w:cs="Courier New"/>
          <w:sz w:val="20"/>
          <w:szCs w:val="20"/>
        </w:rPr>
        <w:t xml:space="preserve">&lt;/Amt&gt;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  &lt;/MntryVal&gt;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  &lt;/Pric&gt;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&lt;/Pric&gt;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&lt;NetAmt&gt;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Net amount</w:t>
      </w:r>
      <w:r>
        <w:rPr>
          <w:rFonts w:ascii="Courier New" w:hAnsi="Courier New" w:eastAsia="Courier New" w:cs="Courier New"/>
          <w:sz w:val="20"/>
          <w:szCs w:val="20"/>
        </w:rPr>
        <w:t xml:space="preserve">&lt;/NetAmt&gt;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&lt;TradVn&gt;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Venue (MIC of Deuss)</w:t>
      </w:r>
      <w:r>
        <w:rPr>
          <w:rFonts w:ascii="Courier New" w:hAnsi="Courier New" w:eastAsia="Courier New" w:cs="Courier New"/>
          <w:sz w:val="20"/>
          <w:szCs w:val="20"/>
        </w:rPr>
        <w:t xml:space="preserve">&lt;/TradVn&gt;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&lt;CtryOfBrnch&gt;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Country of the branch membership (Deuss country_code)</w:t>
      </w:r>
      <w:r>
        <w:rPr>
          <w:rFonts w:ascii="Courier New" w:hAnsi="Courier New" w:eastAsia="Courier New" w:cs="Courier New"/>
          <w:sz w:val="20"/>
          <w:szCs w:val="20"/>
        </w:rPr>
        <w:t xml:space="preserve">&lt;/CtryOfBrnch&gt;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&lt;/Tx&gt;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&lt;FinInstrm&gt;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&lt;Id&gt;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Instrument identification code</w:t>
      </w:r>
      <w:r>
        <w:rPr>
          <w:rFonts w:ascii="Courier New" w:hAnsi="Courier New" w:eastAsia="Courier New" w:cs="Courier New"/>
          <w:sz w:val="20"/>
          <w:szCs w:val="20"/>
        </w:rPr>
        <w:t xml:space="preserve">&lt;/Id&gt;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&lt;/FinInstrm&gt;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&lt;ExctgPrsn&gt;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&lt;Algo&gt;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Execution within firm (the string DEUSS_AUTO_EXEC_001)</w:t>
      </w:r>
      <w:r>
        <w:rPr>
          <w:rFonts w:ascii="Courier New" w:hAnsi="Courier New" w:eastAsia="Courier New" w:cs="Courier New"/>
          <w:sz w:val="20"/>
          <w:szCs w:val="20"/>
        </w:rPr>
        <w:t xml:space="preserve">&lt;/Algo&gt;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&lt;/ExctgPrsn&gt;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&lt;AddtlAttrbts&gt;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&lt;ShrtSellgInd&gt;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Short selling indicator (the string SELL)</w:t>
      </w:r>
      <w:r>
        <w:rPr>
          <w:rFonts w:ascii="Courier New" w:hAnsi="Courier New" w:eastAsia="Courier New" w:cs="Courier New"/>
          <w:sz w:val="20"/>
          <w:szCs w:val="20"/>
        </w:rPr>
        <w:t xml:space="preserve">&lt;/ShrtSellgInd&gt;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&lt;OTCPstTradInd&gt;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OTC post-trade indicator</w:t>
      </w:r>
      <w:r>
        <w:rPr>
          <w:rFonts w:ascii="Courier New" w:hAnsi="Courier New" w:eastAsia="Courier New" w:cs="Courier New"/>
          <w:sz w:val="20"/>
          <w:szCs w:val="20"/>
        </w:rPr>
        <w:t xml:space="preserve">&lt;/OTCPstTradInd&gt;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  &lt;SctiesFincgTxInd&gt;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Securities financing transaction indicator (Boolean false)</w:t>
      </w:r>
      <w:r>
        <w:rPr>
          <w:rFonts w:ascii="Courier New" w:hAnsi="Courier New" w:eastAsia="Courier New" w:cs="Courier New"/>
          <w:sz w:val="20"/>
          <w:szCs w:val="20"/>
        </w:rPr>
        <w:t xml:space="preserve">&lt;/SctiesFincgTxInd&gt;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&lt;/AddtlAttrbts&gt;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&lt;/New&gt;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&lt;/Tx&gt;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&lt;/FinInstrmRptgTxRpt&gt;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&lt;/Document&gt;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 w14:paraId="38604191">
      <w:pPr>
        <w:pStyle w:val="721"/>
        <w:pBdr/>
        <w:spacing/>
        <w:ind/>
        <w:rPr/>
      </w:pPr>
      <w:r>
        <w:rPr>
          <w:rFonts w:ascii="Arial" w:hAnsi="Arial" w:eastAsia="Arial" w:cs="Arial"/>
          <w:b/>
          <w:sz w:val="28"/>
          <w:szCs w:val="28"/>
          <w:highlight w:val="none"/>
        </w:rPr>
      </w:r>
      <w:r>
        <w:rPr>
          <w:rFonts w:ascii="Arial" w:hAnsi="Arial" w:eastAsia="Arial" w:cs="Arial"/>
          <w:b/>
          <w:sz w:val="28"/>
          <w:szCs w:val="28"/>
          <w:highlight w:val="none"/>
        </w:rPr>
      </w:r>
      <w:r>
        <w:rPr>
          <w:rFonts w:ascii="Arial" w:hAnsi="Arial" w:eastAsia="Arial" w:cs="Arial"/>
          <w:b/>
          <w:sz w:val="28"/>
          <w:szCs w:val="28"/>
          <w:highlight w:val="none"/>
        </w:rPr>
      </w:r>
    </w:p>
    <w:p>
      <w:pPr>
        <w:pStyle w:val="721"/>
        <w:pBdr/>
        <w:spacing/>
        <w:ind/>
        <w:rPr>
          <w:rFonts w:ascii="Arial" w:hAnsi="Arial" w:eastAsia="Arial" w:cs="Arial"/>
          <w:b/>
          <w:bCs/>
          <w:sz w:val="28"/>
          <w:szCs w:val="28"/>
          <w:highlight w:val="none"/>
        </w:rPr>
      </w:pPr>
      <w:r>
        <w:rPr>
          <w:rFonts w:ascii="Arial" w:hAnsi="Arial" w:eastAsia="Arial" w:cs="Arial"/>
          <w:b/>
          <w:sz w:val="28"/>
          <w:szCs w:val="28"/>
        </w:rPr>
        <w:t xml:space="preserve">currentTradeReport — Cancellation (CANC)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&lt;?xml version="1.0" encoding="UTF-8"?&gt;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&lt;Document xmlns="urn:iso:std:iso:20022:tech:xsd:auth.016.001.01"&gt;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&lt;FinInstrmRptgTxRpt&gt;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&lt;Tx&gt;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&lt;Cxl&gt;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&lt;TxId&gt;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Transaction Reference Number (transaction_reference)</w:t>
      </w:r>
      <w:r>
        <w:rPr>
          <w:rFonts w:ascii="Courier New" w:hAnsi="Courier New" w:eastAsia="Courier New" w:cs="Courier New"/>
          <w:sz w:val="20"/>
          <w:szCs w:val="20"/>
        </w:rPr>
        <w:t xml:space="preserve">&lt;/TxId&gt;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&lt;ExctgPty&gt;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Executing entity identification code (DEUSS LEI)</w:t>
      </w:r>
      <w:r>
        <w:rPr>
          <w:rFonts w:ascii="Courier New" w:hAnsi="Courier New" w:eastAsia="Courier New" w:cs="Courier New"/>
          <w:sz w:val="20"/>
          <w:szCs w:val="20"/>
        </w:rPr>
        <w:t xml:space="preserve">&lt;/ExctgPty&gt;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  &lt;SubmitgPty&gt;</w:t>
      </w:r>
      <w:r>
        <w:rPr>
          <w:rFonts w:ascii="Courier New" w:hAnsi="Courier New" w:eastAsia="Courier New" w:cs="Courier New"/>
          <w:sz w:val="20"/>
          <w:szCs w:val="20"/>
          <w:highlight w:val="yellow"/>
        </w:rPr>
        <w:t xml:space="preserve">Submitting entity identification code (LEI of Deuss)</w:t>
      </w:r>
      <w:r>
        <w:rPr>
          <w:rFonts w:ascii="Courier New" w:hAnsi="Courier New" w:eastAsia="Courier New" w:cs="Courier New"/>
          <w:sz w:val="20"/>
          <w:szCs w:val="20"/>
        </w:rPr>
        <w:t xml:space="preserve">&lt;/SubmitgPty&gt;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  &lt;/Cxl&gt;</w:t>
      </w:r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  &lt;/Tx&gt;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  &lt;/FinInstrmRptgTxRpt&gt;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rPr>
          <w:rFonts w:ascii="Courier New" w:hAnsi="Courier New" w:eastAsia="Courier New" w:cs="Courier New"/>
          <w:sz w:val="20"/>
          <w:szCs w:val="20"/>
        </w:rPr>
        <w:t xml:space="preserve">&lt;/Document&gt;</w:t>
      </w:r>
      <w:r/>
    </w:p>
    <w:sectPr>
      <w:footnotePr/>
      <w:endnotePr/>
      <w:type w:val="nextPage"/>
      <w:pgSz w:h="16838" w:orient="portrait" w:w="11906"/>
      <w:pgMar w:top="1440" w:right="1440" w:bottom="1440" w:left="1440" w:header="708" w:footer="708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●"/>
      <w:numFmt w:val="bullet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●"/>
      <w:numFmt w:val="bullet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●"/>
      <w:numFmt w:val="bullet"/>
      <w:pPr>
        <w:pBdr/>
        <w:spacing/>
        <w:ind w:hanging="360" w:left="6480"/>
      </w:pPr>
      <w:rPr/>
      <w:start w:val="1"/>
      <w:suff w:val="tab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 w:default="1">
    <w:name w:val="Normal"/>
    <w:qFormat/>
    <w:pPr>
      <w:pBdr/>
      <w:spacing/>
      <w:ind/>
    </w:pPr>
  </w:style>
  <w:style w:type="paragraph" w:styleId="145">
    <w:name w:val="Heading 7"/>
    <w:basedOn w:val="138"/>
    <w:next w:val="13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138"/>
    <w:next w:val="13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138"/>
    <w:next w:val="13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72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7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70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70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7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71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7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138"/>
    <w:next w:val="13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138"/>
    <w:next w:val="13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138"/>
    <w:next w:val="13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13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13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13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138"/>
    <w:next w:val="13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138"/>
    <w:next w:val="138"/>
    <w:uiPriority w:val="39"/>
    <w:unhideWhenUsed/>
    <w:pPr>
      <w:pBdr/>
      <w:spacing w:after="100"/>
      <w:ind/>
    </w:pPr>
  </w:style>
  <w:style w:type="paragraph" w:styleId="190">
    <w:name w:val="toc 2"/>
    <w:basedOn w:val="138"/>
    <w:next w:val="138"/>
    <w:uiPriority w:val="39"/>
    <w:unhideWhenUsed/>
    <w:pPr>
      <w:pBdr/>
      <w:spacing w:after="100"/>
      <w:ind w:left="220"/>
    </w:pPr>
  </w:style>
  <w:style w:type="paragraph" w:styleId="191">
    <w:name w:val="toc 3"/>
    <w:basedOn w:val="138"/>
    <w:next w:val="138"/>
    <w:uiPriority w:val="39"/>
    <w:unhideWhenUsed/>
    <w:pPr>
      <w:pBdr/>
      <w:spacing w:after="100"/>
      <w:ind w:left="440"/>
    </w:pPr>
  </w:style>
  <w:style w:type="paragraph" w:styleId="192">
    <w:name w:val="toc 4"/>
    <w:basedOn w:val="138"/>
    <w:next w:val="138"/>
    <w:uiPriority w:val="39"/>
    <w:unhideWhenUsed/>
    <w:pPr>
      <w:pBdr/>
      <w:spacing w:after="100"/>
      <w:ind w:left="660"/>
    </w:pPr>
  </w:style>
  <w:style w:type="paragraph" w:styleId="193">
    <w:name w:val="toc 5"/>
    <w:basedOn w:val="138"/>
    <w:next w:val="138"/>
    <w:uiPriority w:val="39"/>
    <w:unhideWhenUsed/>
    <w:pPr>
      <w:pBdr/>
      <w:spacing w:after="100"/>
      <w:ind w:left="880"/>
    </w:pPr>
  </w:style>
  <w:style w:type="paragraph" w:styleId="194">
    <w:name w:val="toc 6"/>
    <w:basedOn w:val="138"/>
    <w:next w:val="138"/>
    <w:uiPriority w:val="39"/>
    <w:unhideWhenUsed/>
    <w:pPr>
      <w:pBdr/>
      <w:spacing w:after="100"/>
      <w:ind w:left="1100"/>
    </w:pPr>
  </w:style>
  <w:style w:type="paragraph" w:styleId="195">
    <w:name w:val="toc 7"/>
    <w:basedOn w:val="138"/>
    <w:next w:val="138"/>
    <w:uiPriority w:val="39"/>
    <w:unhideWhenUsed/>
    <w:pPr>
      <w:pBdr/>
      <w:spacing w:after="100"/>
      <w:ind w:left="1320"/>
    </w:pPr>
  </w:style>
  <w:style w:type="paragraph" w:styleId="196">
    <w:name w:val="toc 8"/>
    <w:basedOn w:val="138"/>
    <w:next w:val="138"/>
    <w:uiPriority w:val="39"/>
    <w:unhideWhenUsed/>
    <w:pPr>
      <w:pBdr/>
      <w:spacing w:after="100"/>
      <w:ind w:left="1540"/>
    </w:pPr>
  </w:style>
  <w:style w:type="paragraph" w:styleId="197">
    <w:name w:val="toc 9"/>
    <w:basedOn w:val="138"/>
    <w:next w:val="13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138"/>
    <w:next w:val="138"/>
    <w:uiPriority w:val="99"/>
    <w:unhideWhenUsed/>
    <w:pPr>
      <w:pBdr/>
      <w:spacing w:after="0" w:afterAutospacing="0"/>
      <w:ind/>
    </w:pPr>
  </w:style>
  <w:style w:type="paragraph" w:styleId="705">
    <w:name w:val="Title"/>
    <w:qFormat/>
    <w:pPr>
      <w:pBdr/>
      <w:spacing/>
      <w:ind/>
    </w:pPr>
    <w:rPr>
      <w:sz w:val="56"/>
      <w:szCs w:val="56"/>
    </w:rPr>
  </w:style>
  <w:style w:type="paragraph" w:styleId="707">
    <w:name w:val="Heading 2"/>
    <w:qFormat/>
    <w:pPr>
      <w:pBdr/>
      <w:spacing/>
      <w:ind/>
    </w:pPr>
    <w:rPr>
      <w:color w:val="2e74b5"/>
      <w:sz w:val="26"/>
      <w:szCs w:val="26"/>
    </w:rPr>
  </w:style>
  <w:style w:type="paragraph" w:styleId="708">
    <w:name w:val="Heading 3"/>
    <w:qFormat/>
    <w:pPr>
      <w:pBdr/>
      <w:spacing/>
      <w:ind/>
    </w:pPr>
    <w:rPr>
      <w:color w:val="1f4d78"/>
      <w:sz w:val="24"/>
      <w:szCs w:val="24"/>
    </w:rPr>
  </w:style>
  <w:style w:type="paragraph" w:styleId="709">
    <w:name w:val="Heading 4"/>
    <w:qFormat/>
    <w:pPr>
      <w:pBdr/>
      <w:spacing/>
      <w:ind/>
    </w:pPr>
    <w:rPr>
      <w:i/>
      <w:iCs/>
      <w:color w:val="2e74b5"/>
    </w:rPr>
  </w:style>
  <w:style w:type="paragraph" w:styleId="710">
    <w:name w:val="Heading 5"/>
    <w:qFormat/>
    <w:pPr>
      <w:pBdr/>
      <w:spacing/>
      <w:ind/>
    </w:pPr>
    <w:rPr>
      <w:color w:val="2e74b5"/>
    </w:rPr>
  </w:style>
  <w:style w:type="paragraph" w:styleId="711">
    <w:name w:val="Heading 6"/>
    <w:qFormat/>
    <w:pPr>
      <w:pBdr/>
      <w:spacing/>
      <w:ind/>
    </w:pPr>
    <w:rPr>
      <w:color w:val="1f4d78"/>
    </w:rPr>
  </w:style>
  <w:style w:type="paragraph" w:styleId="712">
    <w:name w:val="Strong"/>
    <w:qFormat/>
    <w:pPr>
      <w:pBdr/>
      <w:spacing/>
      <w:ind/>
    </w:pPr>
    <w:rPr>
      <w:b/>
      <w:bCs/>
    </w:rPr>
  </w:style>
  <w:style w:type="paragraph" w:styleId="713">
    <w:name w:val="List Paragraph"/>
    <w:qFormat/>
    <w:pPr>
      <w:pBdr/>
      <w:spacing/>
      <w:ind/>
    </w:pPr>
  </w:style>
  <w:style w:type="character" w:styleId="714">
    <w:name w:val="Hyperlink"/>
    <w:uiPriority w:val="99"/>
    <w:unhideWhenUsed/>
    <w:pPr>
      <w:pBdr/>
      <w:spacing/>
      <w:ind/>
    </w:pPr>
    <w:rPr>
      <w:color w:val="0563c1"/>
      <w:u w:val="single"/>
    </w:rPr>
  </w:style>
  <w:style w:type="character" w:styleId="715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716">
    <w:name w:val="footnote text"/>
    <w:link w:val="71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17">
    <w:name w:val="Footnote Text Char"/>
    <w:link w:val="716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718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719">
    <w:name w:val="endnote text"/>
    <w:link w:val="72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20">
    <w:name w:val="Endnote Text Char"/>
    <w:link w:val="719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721">
    <w:name w:val="Heading 1"/>
    <w:qFormat/>
    <w:pPr>
      <w:pBdr/>
      <w:spacing w:after="120" w:before="240"/>
      <w:ind/>
    </w:pPr>
    <w:rPr>
      <w:rFonts w:ascii="Arial" w:hAnsi="Arial" w:eastAsia="Arial" w:cs="Arial"/>
      <w:b/>
      <w:bCs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ONLYOFFICE/9.3.1.8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revision>2</cp:revision>
  <dcterms:created xsi:type="dcterms:W3CDTF">2026-05-05T09:58:21Z</dcterms:created>
  <dcterms:modified xsi:type="dcterms:W3CDTF">2026-05-05T11:50:50Z</dcterms:modified>
</cp:coreProperties>
</file>